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7DB61" w14:textId="77777777" w:rsidR="001321E6" w:rsidRPr="001321E6" w:rsidRDefault="001321E6" w:rsidP="001321E6">
      <w:pPr>
        <w:spacing w:before="40"/>
        <w:ind w:left="142" w:right="25"/>
        <w:jc w:val="center"/>
        <w:rPr>
          <w:rFonts w:ascii="Arial" w:hAnsi="Arial" w:cs="Arial"/>
          <w:b/>
          <w:sz w:val="24"/>
          <w:szCs w:val="24"/>
        </w:rPr>
      </w:pPr>
      <w:r w:rsidRPr="001321E6">
        <w:rPr>
          <w:rFonts w:ascii="Arial" w:hAnsi="Arial" w:cs="Arial"/>
          <w:b/>
          <w:sz w:val="24"/>
          <w:szCs w:val="24"/>
        </w:rPr>
        <w:t>Every Child Matters Academy Trust</w:t>
      </w:r>
    </w:p>
    <w:p w14:paraId="6867E6E9" w14:textId="77777777" w:rsidR="00A459C9" w:rsidRPr="001321E6" w:rsidRDefault="00473230" w:rsidP="001321E6">
      <w:pPr>
        <w:spacing w:before="40"/>
        <w:ind w:left="142" w:right="25"/>
        <w:jc w:val="center"/>
        <w:rPr>
          <w:rFonts w:ascii="Arial" w:eastAsia="Tahoma" w:hAnsi="Arial" w:cs="Arial"/>
          <w:sz w:val="24"/>
          <w:szCs w:val="24"/>
        </w:rPr>
      </w:pPr>
      <w:r w:rsidRPr="001321E6">
        <w:rPr>
          <w:rFonts w:ascii="Arial" w:hAnsi="Arial" w:cs="Arial"/>
          <w:b/>
          <w:sz w:val="24"/>
          <w:szCs w:val="24"/>
        </w:rPr>
        <w:t>Governor</w:t>
      </w:r>
      <w:r w:rsidR="00BC43B7">
        <w:rPr>
          <w:rFonts w:ascii="Arial" w:hAnsi="Arial" w:cs="Arial"/>
          <w:b/>
          <w:sz w:val="24"/>
          <w:szCs w:val="24"/>
        </w:rPr>
        <w:t>s’</w:t>
      </w:r>
      <w:r w:rsidRPr="001321E6">
        <w:rPr>
          <w:rFonts w:ascii="Arial" w:hAnsi="Arial" w:cs="Arial"/>
          <w:b/>
          <w:sz w:val="24"/>
          <w:szCs w:val="24"/>
        </w:rPr>
        <w:t xml:space="preserve"> </w:t>
      </w:r>
      <w:r w:rsidR="00BC43B7">
        <w:rPr>
          <w:rFonts w:ascii="Arial" w:hAnsi="Arial" w:cs="Arial"/>
          <w:b/>
          <w:sz w:val="24"/>
          <w:szCs w:val="24"/>
        </w:rPr>
        <w:t>Expenses</w:t>
      </w:r>
      <w:r w:rsidRPr="001321E6">
        <w:rPr>
          <w:rFonts w:ascii="Arial" w:hAnsi="Arial" w:cs="Arial"/>
          <w:b/>
          <w:spacing w:val="-9"/>
          <w:sz w:val="24"/>
          <w:szCs w:val="24"/>
        </w:rPr>
        <w:t xml:space="preserve"> </w:t>
      </w:r>
      <w:r w:rsidRPr="001321E6">
        <w:rPr>
          <w:rFonts w:ascii="Arial" w:hAnsi="Arial" w:cs="Arial"/>
          <w:b/>
          <w:sz w:val="24"/>
          <w:szCs w:val="24"/>
        </w:rPr>
        <w:t>Policy</w:t>
      </w:r>
    </w:p>
    <w:p w14:paraId="75126E34" w14:textId="77777777" w:rsidR="00A459C9" w:rsidRPr="001321E6" w:rsidRDefault="00A459C9">
      <w:pPr>
        <w:spacing w:before="6"/>
        <w:rPr>
          <w:rFonts w:ascii="Arial" w:eastAsia="Tahoma" w:hAnsi="Arial" w:cs="Arial"/>
          <w:b/>
          <w:bCs/>
        </w:rPr>
      </w:pPr>
    </w:p>
    <w:p w14:paraId="5F1AC0DE" w14:textId="77777777" w:rsidR="001321E6" w:rsidRPr="001321E6" w:rsidRDefault="001321E6">
      <w:pPr>
        <w:pStyle w:val="BodyText"/>
        <w:spacing w:line="276" w:lineRule="auto"/>
        <w:ind w:right="117"/>
        <w:jc w:val="both"/>
        <w:rPr>
          <w:rFonts w:ascii="Arial" w:hAnsi="Arial" w:cs="Arial"/>
          <w:i/>
          <w:sz w:val="20"/>
          <w:szCs w:val="20"/>
        </w:rPr>
      </w:pPr>
      <w:r w:rsidRPr="001321E6">
        <w:rPr>
          <w:rFonts w:ascii="Arial" w:hAnsi="Arial" w:cs="Arial"/>
          <w:i/>
          <w:sz w:val="20"/>
          <w:szCs w:val="20"/>
        </w:rPr>
        <w:t>The term Governor also applies to Trustees.</w:t>
      </w:r>
    </w:p>
    <w:p w14:paraId="2065E7C8" w14:textId="77777777" w:rsidR="001321E6" w:rsidRDefault="001321E6">
      <w:pPr>
        <w:pStyle w:val="BodyText"/>
        <w:spacing w:line="276" w:lineRule="auto"/>
        <w:ind w:right="117"/>
        <w:jc w:val="both"/>
        <w:rPr>
          <w:rFonts w:ascii="Arial" w:hAnsi="Arial" w:cs="Arial"/>
        </w:rPr>
      </w:pPr>
    </w:p>
    <w:p w14:paraId="0079A30D" w14:textId="77777777" w:rsidR="00A459C9" w:rsidRPr="001321E6" w:rsidRDefault="00473230">
      <w:pPr>
        <w:pStyle w:val="BodyText"/>
        <w:spacing w:line="276" w:lineRule="auto"/>
        <w:ind w:right="117"/>
        <w:jc w:val="both"/>
        <w:rPr>
          <w:rFonts w:ascii="Arial" w:hAnsi="Arial" w:cs="Arial"/>
        </w:rPr>
      </w:pPr>
      <w:r w:rsidRPr="001321E6">
        <w:rPr>
          <w:rFonts w:ascii="Arial" w:hAnsi="Arial" w:cs="Arial"/>
        </w:rPr>
        <w:t xml:space="preserve">This policy has been developed in accordance with the Education (Governors’ </w:t>
      </w:r>
      <w:r w:rsidR="00BC43B7">
        <w:rPr>
          <w:rFonts w:ascii="Arial" w:hAnsi="Arial" w:cs="Arial"/>
        </w:rPr>
        <w:t>Expenses</w:t>
      </w:r>
      <w:r w:rsidRPr="001321E6">
        <w:rPr>
          <w:rFonts w:ascii="Arial" w:hAnsi="Arial" w:cs="Arial"/>
        </w:rPr>
        <w:t xml:space="preserve">) Regulations 2013. These regulations give Governing Bodies the discretion to pay </w:t>
      </w:r>
      <w:r w:rsidR="00BC43B7">
        <w:rPr>
          <w:rFonts w:ascii="Arial" w:hAnsi="Arial" w:cs="Arial"/>
        </w:rPr>
        <w:t>expenses</w:t>
      </w:r>
      <w:r w:rsidRPr="001321E6">
        <w:rPr>
          <w:rFonts w:ascii="Arial" w:hAnsi="Arial" w:cs="Arial"/>
        </w:rPr>
        <w:t xml:space="preserve"> from the Academy’s annual budget allocation to Governors for certain </w:t>
      </w:r>
      <w:r w:rsidR="00BC43B7">
        <w:rPr>
          <w:rFonts w:ascii="Arial" w:hAnsi="Arial" w:cs="Arial"/>
        </w:rPr>
        <w:t>expenses</w:t>
      </w:r>
      <w:r w:rsidRPr="001321E6">
        <w:rPr>
          <w:rFonts w:ascii="Arial" w:hAnsi="Arial" w:cs="Arial"/>
        </w:rPr>
        <w:t xml:space="preserve"> which they incur in carrying out their</w:t>
      </w:r>
      <w:r w:rsidRPr="001321E6">
        <w:rPr>
          <w:rFonts w:ascii="Arial" w:hAnsi="Arial" w:cs="Arial"/>
          <w:spacing w:val="-6"/>
        </w:rPr>
        <w:t xml:space="preserve"> </w:t>
      </w:r>
      <w:r w:rsidRPr="001321E6">
        <w:rPr>
          <w:rFonts w:ascii="Arial" w:hAnsi="Arial" w:cs="Arial"/>
        </w:rPr>
        <w:t>duties.</w:t>
      </w:r>
    </w:p>
    <w:p w14:paraId="5570D076" w14:textId="77777777" w:rsidR="00A459C9" w:rsidRPr="001321E6" w:rsidRDefault="00A459C9">
      <w:pPr>
        <w:spacing w:before="5"/>
        <w:rPr>
          <w:rFonts w:ascii="Arial" w:eastAsia="Tahoma" w:hAnsi="Arial" w:cs="Arial"/>
        </w:rPr>
      </w:pPr>
    </w:p>
    <w:p w14:paraId="63FA152F" w14:textId="77777777" w:rsidR="00A459C9" w:rsidRPr="001321E6" w:rsidRDefault="00473230">
      <w:pPr>
        <w:pStyle w:val="BodyText"/>
        <w:spacing w:line="276" w:lineRule="auto"/>
        <w:ind w:right="124"/>
        <w:jc w:val="both"/>
        <w:rPr>
          <w:rFonts w:ascii="Arial" w:hAnsi="Arial" w:cs="Arial"/>
        </w:rPr>
      </w:pPr>
      <w:r w:rsidRPr="001321E6">
        <w:rPr>
          <w:rFonts w:ascii="Arial" w:hAnsi="Arial" w:cs="Arial"/>
        </w:rPr>
        <w:t xml:space="preserve">The </w:t>
      </w:r>
      <w:r w:rsidR="001321E6">
        <w:rPr>
          <w:rFonts w:ascii="Arial" w:hAnsi="Arial" w:cs="Arial"/>
        </w:rPr>
        <w:t>Trust believes that paying Governors</w:t>
      </w:r>
      <w:r w:rsidRPr="001321E6">
        <w:rPr>
          <w:rFonts w:ascii="Arial" w:hAnsi="Arial" w:cs="Arial"/>
        </w:rPr>
        <w:t xml:space="preserve"> </w:t>
      </w:r>
      <w:r w:rsidR="00BC43B7">
        <w:rPr>
          <w:rFonts w:ascii="Arial" w:hAnsi="Arial" w:cs="Arial"/>
        </w:rPr>
        <w:t>expenses</w:t>
      </w:r>
      <w:r w:rsidRPr="001321E6">
        <w:rPr>
          <w:rFonts w:ascii="Arial" w:hAnsi="Arial" w:cs="Arial"/>
        </w:rPr>
        <w:t>, in specific categories as set out below, is important in ensuring equality of opportunity to serve as Governors for all members of the community and so is an appropriate use of Academy Funds. The specific items allowable reflect this</w:t>
      </w:r>
      <w:r w:rsidRPr="001321E6">
        <w:rPr>
          <w:rFonts w:ascii="Arial" w:hAnsi="Arial" w:cs="Arial"/>
          <w:spacing w:val="-3"/>
        </w:rPr>
        <w:t xml:space="preserve"> </w:t>
      </w:r>
      <w:r w:rsidRPr="001321E6">
        <w:rPr>
          <w:rFonts w:ascii="Arial" w:hAnsi="Arial" w:cs="Arial"/>
        </w:rPr>
        <w:t>objective.</w:t>
      </w:r>
    </w:p>
    <w:p w14:paraId="0C0B9AF9" w14:textId="77777777" w:rsidR="00A459C9" w:rsidRPr="001321E6" w:rsidRDefault="00A459C9">
      <w:pPr>
        <w:spacing w:before="5"/>
        <w:rPr>
          <w:rFonts w:ascii="Arial" w:eastAsia="Tahoma" w:hAnsi="Arial" w:cs="Arial"/>
        </w:rPr>
      </w:pPr>
    </w:p>
    <w:p w14:paraId="3444EF57" w14:textId="77777777" w:rsidR="00A459C9" w:rsidRPr="001321E6" w:rsidRDefault="00473230">
      <w:pPr>
        <w:pStyle w:val="BodyText"/>
        <w:spacing w:line="276" w:lineRule="auto"/>
        <w:ind w:right="123"/>
        <w:jc w:val="both"/>
        <w:rPr>
          <w:rFonts w:ascii="Arial" w:hAnsi="Arial" w:cs="Arial"/>
        </w:rPr>
      </w:pPr>
      <w:r w:rsidRPr="001321E6">
        <w:rPr>
          <w:rFonts w:ascii="Arial" w:hAnsi="Arial" w:cs="Arial"/>
        </w:rPr>
        <w:t>All Governors (including associate members) of the Academy will be entitled to claim the actual expenditure</w:t>
      </w:r>
      <w:r w:rsidRPr="001321E6">
        <w:rPr>
          <w:rFonts w:ascii="Arial" w:hAnsi="Arial" w:cs="Arial"/>
          <w:spacing w:val="-5"/>
        </w:rPr>
        <w:t xml:space="preserve"> </w:t>
      </w:r>
      <w:r w:rsidRPr="001321E6">
        <w:rPr>
          <w:rFonts w:ascii="Arial" w:hAnsi="Arial" w:cs="Arial"/>
        </w:rPr>
        <w:t>incurred:-</w:t>
      </w:r>
    </w:p>
    <w:p w14:paraId="539EAEE0" w14:textId="77777777" w:rsidR="00A459C9" w:rsidRPr="001321E6" w:rsidRDefault="001321E6">
      <w:pPr>
        <w:pStyle w:val="ListParagraph"/>
        <w:numPr>
          <w:ilvl w:val="0"/>
          <w:numId w:val="1"/>
        </w:numPr>
        <w:tabs>
          <w:tab w:val="left" w:pos="1181"/>
        </w:tabs>
        <w:spacing w:line="278" w:lineRule="auto"/>
        <w:ind w:right="121"/>
        <w:rPr>
          <w:rFonts w:ascii="Arial" w:eastAsia="Tahoma" w:hAnsi="Arial" w:cs="Arial"/>
        </w:rPr>
      </w:pPr>
      <w:r>
        <w:rPr>
          <w:rFonts w:ascii="Arial" w:hAnsi="Arial" w:cs="Arial"/>
        </w:rPr>
        <w:t>Solely i</w:t>
      </w:r>
      <w:r w:rsidR="00473230" w:rsidRPr="001321E6">
        <w:rPr>
          <w:rFonts w:ascii="Arial" w:hAnsi="Arial" w:cs="Arial"/>
        </w:rPr>
        <w:t>n carrying out their duties as a Governor or as a representative of the</w:t>
      </w:r>
      <w:r w:rsidR="00473230" w:rsidRPr="001321E6">
        <w:rPr>
          <w:rFonts w:ascii="Arial" w:hAnsi="Arial" w:cs="Arial"/>
          <w:spacing w:val="-12"/>
        </w:rPr>
        <w:t xml:space="preserve"> </w:t>
      </w:r>
      <w:r w:rsidR="00473230" w:rsidRPr="001321E6">
        <w:rPr>
          <w:rFonts w:ascii="Arial" w:hAnsi="Arial" w:cs="Arial"/>
        </w:rPr>
        <w:t>Academy</w:t>
      </w:r>
    </w:p>
    <w:p w14:paraId="09A7B227" w14:textId="77777777" w:rsidR="00A459C9" w:rsidRPr="001321E6" w:rsidRDefault="001321E6">
      <w:pPr>
        <w:pStyle w:val="ListParagraph"/>
        <w:numPr>
          <w:ilvl w:val="0"/>
          <w:numId w:val="1"/>
        </w:numPr>
        <w:tabs>
          <w:tab w:val="left" w:pos="1181"/>
        </w:tabs>
        <w:spacing w:line="262" w:lineRule="exact"/>
        <w:rPr>
          <w:rFonts w:ascii="Arial" w:eastAsia="Tahoma" w:hAnsi="Arial" w:cs="Arial"/>
        </w:rPr>
      </w:pPr>
      <w:r>
        <w:rPr>
          <w:rFonts w:ascii="Arial" w:hAnsi="Arial" w:cs="Arial"/>
        </w:rPr>
        <w:t>In</w:t>
      </w:r>
      <w:r w:rsidR="00473230" w:rsidRPr="001321E6">
        <w:rPr>
          <w:rFonts w:ascii="Arial" w:hAnsi="Arial" w:cs="Arial"/>
        </w:rPr>
        <w:t xml:space="preserve"> the</w:t>
      </w:r>
      <w:r w:rsidR="00473230" w:rsidRPr="001321E6">
        <w:rPr>
          <w:rFonts w:ascii="Arial" w:hAnsi="Arial" w:cs="Arial"/>
          <w:spacing w:val="-13"/>
        </w:rPr>
        <w:t xml:space="preserve"> </w:t>
      </w:r>
      <w:r w:rsidR="00473230" w:rsidRPr="001321E6">
        <w:rPr>
          <w:rFonts w:ascii="Arial" w:hAnsi="Arial" w:cs="Arial"/>
        </w:rPr>
        <w:t>following:-</w:t>
      </w:r>
    </w:p>
    <w:p w14:paraId="016A2F6E" w14:textId="77777777" w:rsidR="00A459C9" w:rsidRPr="001321E6" w:rsidRDefault="00473230">
      <w:pPr>
        <w:pStyle w:val="ListParagraph"/>
        <w:numPr>
          <w:ilvl w:val="1"/>
          <w:numId w:val="1"/>
        </w:numPr>
        <w:tabs>
          <w:tab w:val="left" w:pos="1901"/>
        </w:tabs>
        <w:spacing w:before="38"/>
        <w:rPr>
          <w:rFonts w:ascii="Arial" w:eastAsia="Tahoma" w:hAnsi="Arial" w:cs="Arial"/>
        </w:rPr>
      </w:pPr>
      <w:r w:rsidRPr="001321E6">
        <w:rPr>
          <w:rFonts w:ascii="Arial" w:hAnsi="Arial" w:cs="Arial"/>
        </w:rPr>
        <w:t>Telephone</w:t>
      </w:r>
      <w:r w:rsidRPr="001321E6">
        <w:rPr>
          <w:rFonts w:ascii="Arial" w:hAnsi="Arial" w:cs="Arial"/>
          <w:spacing w:val="-6"/>
        </w:rPr>
        <w:t xml:space="preserve"> </w:t>
      </w:r>
      <w:r w:rsidRPr="001321E6">
        <w:rPr>
          <w:rFonts w:ascii="Arial" w:hAnsi="Arial" w:cs="Arial"/>
        </w:rPr>
        <w:t>charges</w:t>
      </w:r>
    </w:p>
    <w:p w14:paraId="61AA3758" w14:textId="77777777" w:rsidR="00A459C9" w:rsidRPr="001321E6" w:rsidRDefault="00473230">
      <w:pPr>
        <w:pStyle w:val="ListParagraph"/>
        <w:numPr>
          <w:ilvl w:val="1"/>
          <w:numId w:val="1"/>
        </w:numPr>
        <w:tabs>
          <w:tab w:val="left" w:pos="1901"/>
        </w:tabs>
        <w:spacing w:before="37"/>
        <w:rPr>
          <w:rFonts w:ascii="Arial" w:eastAsia="Tahoma" w:hAnsi="Arial" w:cs="Arial"/>
        </w:rPr>
      </w:pPr>
      <w:r w:rsidRPr="001321E6">
        <w:rPr>
          <w:rFonts w:ascii="Arial" w:hAnsi="Arial" w:cs="Arial"/>
        </w:rPr>
        <w:t>Photocopying</w:t>
      </w:r>
      <w:r w:rsidRPr="001321E6">
        <w:rPr>
          <w:rFonts w:ascii="Arial" w:hAnsi="Arial" w:cs="Arial"/>
          <w:spacing w:val="-7"/>
        </w:rPr>
        <w:t xml:space="preserve"> </w:t>
      </w:r>
      <w:r w:rsidRPr="001321E6">
        <w:rPr>
          <w:rFonts w:ascii="Arial" w:hAnsi="Arial" w:cs="Arial"/>
        </w:rPr>
        <w:t>costs</w:t>
      </w:r>
    </w:p>
    <w:p w14:paraId="5A1A2780" w14:textId="77777777" w:rsidR="00A459C9" w:rsidRPr="001321E6" w:rsidRDefault="00AF78A5">
      <w:pPr>
        <w:pStyle w:val="ListParagraph"/>
        <w:numPr>
          <w:ilvl w:val="1"/>
          <w:numId w:val="1"/>
        </w:numPr>
        <w:tabs>
          <w:tab w:val="left" w:pos="1901"/>
        </w:tabs>
        <w:spacing w:before="35"/>
        <w:rPr>
          <w:rFonts w:ascii="Arial" w:eastAsia="Tahoma" w:hAnsi="Arial" w:cs="Arial"/>
        </w:rPr>
      </w:pPr>
      <w:r>
        <w:rPr>
          <w:rFonts w:ascii="Arial" w:hAnsi="Arial" w:cs="Arial"/>
        </w:rPr>
        <w:t>Stationery</w:t>
      </w:r>
      <w:r w:rsidR="00473230" w:rsidRPr="001321E6">
        <w:rPr>
          <w:rFonts w:ascii="Arial" w:hAnsi="Arial" w:cs="Arial"/>
        </w:rPr>
        <w:t xml:space="preserve"> and</w:t>
      </w:r>
      <w:r w:rsidR="00473230" w:rsidRPr="001321E6">
        <w:rPr>
          <w:rFonts w:ascii="Arial" w:hAnsi="Arial" w:cs="Arial"/>
          <w:spacing w:val="-12"/>
        </w:rPr>
        <w:t xml:space="preserve"> </w:t>
      </w:r>
      <w:r w:rsidR="00473230" w:rsidRPr="001321E6">
        <w:rPr>
          <w:rFonts w:ascii="Arial" w:hAnsi="Arial" w:cs="Arial"/>
        </w:rPr>
        <w:t>postage</w:t>
      </w:r>
    </w:p>
    <w:p w14:paraId="386A3A75" w14:textId="77777777" w:rsidR="00A459C9" w:rsidRPr="001321E6" w:rsidRDefault="00473230">
      <w:pPr>
        <w:pStyle w:val="ListParagraph"/>
        <w:numPr>
          <w:ilvl w:val="1"/>
          <w:numId w:val="1"/>
        </w:numPr>
        <w:tabs>
          <w:tab w:val="left" w:pos="1901"/>
        </w:tabs>
        <w:spacing w:before="37" w:line="276" w:lineRule="auto"/>
        <w:ind w:right="119"/>
        <w:jc w:val="both"/>
        <w:rPr>
          <w:rFonts w:ascii="Arial" w:eastAsia="Tahoma" w:hAnsi="Arial" w:cs="Arial"/>
        </w:rPr>
      </w:pPr>
      <w:r w:rsidRPr="001321E6">
        <w:rPr>
          <w:rFonts w:ascii="Arial" w:hAnsi="Arial" w:cs="Arial"/>
        </w:rPr>
        <w:t>Travel, mileage and subsistence expenses, payable at the specified rates for Academy personnel, associated with attending meetings or training events/courses, unless these costs can be claimed from any other</w:t>
      </w:r>
      <w:r w:rsidRPr="001321E6">
        <w:rPr>
          <w:rFonts w:ascii="Arial" w:hAnsi="Arial" w:cs="Arial"/>
          <w:spacing w:val="-27"/>
        </w:rPr>
        <w:t xml:space="preserve"> </w:t>
      </w:r>
      <w:r w:rsidRPr="001321E6">
        <w:rPr>
          <w:rFonts w:ascii="Arial" w:hAnsi="Arial" w:cs="Arial"/>
        </w:rPr>
        <w:t>sources</w:t>
      </w:r>
    </w:p>
    <w:p w14:paraId="5E5175FD" w14:textId="77777777" w:rsidR="00A459C9" w:rsidRPr="001321E6" w:rsidRDefault="00473230" w:rsidP="00335ABF">
      <w:pPr>
        <w:pStyle w:val="ListParagraph"/>
        <w:numPr>
          <w:ilvl w:val="1"/>
          <w:numId w:val="1"/>
        </w:numPr>
        <w:tabs>
          <w:tab w:val="left" w:pos="1901"/>
          <w:tab w:val="left" w:pos="4183"/>
          <w:tab w:val="left" w:pos="4742"/>
        </w:tabs>
        <w:spacing w:line="273" w:lineRule="auto"/>
        <w:ind w:left="2260" w:right="734" w:hanging="720"/>
        <w:rPr>
          <w:rFonts w:ascii="Arial" w:eastAsia="Tahoma" w:hAnsi="Arial" w:cs="Arial"/>
        </w:rPr>
      </w:pPr>
      <w:r w:rsidRPr="001321E6">
        <w:rPr>
          <w:rFonts w:ascii="Arial" w:hAnsi="Arial" w:cs="Arial"/>
        </w:rPr>
        <w:t xml:space="preserve">Approved </w:t>
      </w:r>
      <w:r w:rsidR="00335ABF">
        <w:rPr>
          <w:rFonts w:ascii="Arial" w:hAnsi="Arial" w:cs="Arial"/>
        </w:rPr>
        <w:t>Mileage rates for cars and vans</w:t>
      </w:r>
      <w:r w:rsidR="00FD380A">
        <w:rPr>
          <w:rFonts w:ascii="Arial" w:hAnsi="Arial" w:cs="Arial"/>
        </w:rPr>
        <w:t>:</w:t>
      </w:r>
      <w:r w:rsidR="00335ABF">
        <w:rPr>
          <w:rFonts w:ascii="Arial" w:hAnsi="Arial" w:cs="Arial"/>
        </w:rPr>
        <w:t xml:space="preserve"> </w:t>
      </w:r>
      <w:r w:rsidRPr="001321E6">
        <w:rPr>
          <w:rFonts w:ascii="Arial" w:hAnsi="Arial" w:cs="Arial"/>
          <w:spacing w:val="-1"/>
        </w:rPr>
        <w:t>45.00p</w:t>
      </w:r>
      <w:r w:rsidRPr="001321E6">
        <w:rPr>
          <w:rFonts w:ascii="Arial" w:hAnsi="Arial" w:cs="Arial"/>
        </w:rPr>
        <w:t xml:space="preserve"> per</w:t>
      </w:r>
      <w:r w:rsidRPr="001321E6">
        <w:rPr>
          <w:rFonts w:ascii="Arial" w:hAnsi="Arial" w:cs="Arial"/>
          <w:spacing w:val="6"/>
        </w:rPr>
        <w:t xml:space="preserve"> </w:t>
      </w:r>
      <w:r w:rsidRPr="001321E6">
        <w:rPr>
          <w:rFonts w:ascii="Arial" w:hAnsi="Arial" w:cs="Arial"/>
          <w:spacing w:val="-1"/>
        </w:rPr>
        <w:t>mile</w:t>
      </w:r>
    </w:p>
    <w:p w14:paraId="762862CB" w14:textId="77777777" w:rsidR="00A459C9" w:rsidRPr="001321E6" w:rsidRDefault="00A459C9">
      <w:pPr>
        <w:spacing w:before="7"/>
        <w:rPr>
          <w:rFonts w:ascii="Arial" w:eastAsia="Tahoma" w:hAnsi="Arial" w:cs="Arial"/>
        </w:rPr>
      </w:pPr>
    </w:p>
    <w:p w14:paraId="0662F791" w14:textId="77777777" w:rsidR="00A459C9" w:rsidRPr="001321E6" w:rsidRDefault="00473230">
      <w:pPr>
        <w:pStyle w:val="BodyText"/>
        <w:jc w:val="both"/>
        <w:rPr>
          <w:rFonts w:ascii="Arial" w:hAnsi="Arial" w:cs="Arial"/>
        </w:rPr>
      </w:pPr>
      <w:r w:rsidRPr="001321E6">
        <w:rPr>
          <w:rFonts w:ascii="Arial" w:hAnsi="Arial" w:cs="Arial"/>
        </w:rPr>
        <w:t>The Local Governing Body acknowledges</w:t>
      </w:r>
      <w:r w:rsidRPr="001321E6">
        <w:rPr>
          <w:rFonts w:ascii="Arial" w:hAnsi="Arial" w:cs="Arial"/>
          <w:spacing w:val="-9"/>
        </w:rPr>
        <w:t xml:space="preserve"> </w:t>
      </w:r>
      <w:r w:rsidRPr="001321E6">
        <w:rPr>
          <w:rFonts w:ascii="Arial" w:hAnsi="Arial" w:cs="Arial"/>
        </w:rPr>
        <w:t>that:-</w:t>
      </w:r>
    </w:p>
    <w:p w14:paraId="1DC025DB" w14:textId="77777777" w:rsidR="00A459C9" w:rsidRPr="001321E6" w:rsidRDefault="00473230">
      <w:pPr>
        <w:pStyle w:val="ListParagraph"/>
        <w:numPr>
          <w:ilvl w:val="1"/>
          <w:numId w:val="1"/>
        </w:numPr>
        <w:tabs>
          <w:tab w:val="left" w:pos="1901"/>
        </w:tabs>
        <w:spacing w:before="40"/>
        <w:rPr>
          <w:rFonts w:ascii="Arial" w:eastAsia="Tahoma" w:hAnsi="Arial" w:cs="Arial"/>
        </w:rPr>
      </w:pPr>
      <w:r w:rsidRPr="001321E6">
        <w:rPr>
          <w:rFonts w:ascii="Arial" w:hAnsi="Arial" w:cs="Arial"/>
        </w:rPr>
        <w:t>Governors may not be paid attendance</w:t>
      </w:r>
      <w:r w:rsidRPr="001321E6">
        <w:rPr>
          <w:rFonts w:ascii="Arial" w:hAnsi="Arial" w:cs="Arial"/>
          <w:spacing w:val="-8"/>
        </w:rPr>
        <w:t xml:space="preserve"> </w:t>
      </w:r>
      <w:r w:rsidR="00BC43B7">
        <w:rPr>
          <w:rFonts w:ascii="Arial" w:hAnsi="Arial" w:cs="Arial"/>
        </w:rPr>
        <w:t>expenses</w:t>
      </w:r>
    </w:p>
    <w:p w14:paraId="6F791487" w14:textId="77777777" w:rsidR="00A459C9" w:rsidRPr="001321E6" w:rsidRDefault="00473230">
      <w:pPr>
        <w:pStyle w:val="ListParagraph"/>
        <w:numPr>
          <w:ilvl w:val="1"/>
          <w:numId w:val="1"/>
        </w:numPr>
        <w:tabs>
          <w:tab w:val="left" w:pos="1901"/>
        </w:tabs>
        <w:spacing w:before="37"/>
        <w:rPr>
          <w:rFonts w:ascii="Arial" w:eastAsia="Tahoma" w:hAnsi="Arial" w:cs="Arial"/>
        </w:rPr>
      </w:pPr>
      <w:r w:rsidRPr="001321E6">
        <w:rPr>
          <w:rFonts w:ascii="Arial" w:hAnsi="Arial" w:cs="Arial"/>
        </w:rPr>
        <w:t>Governors may not be reimbursed for loss of</w:t>
      </w:r>
      <w:r w:rsidRPr="001321E6">
        <w:rPr>
          <w:rFonts w:ascii="Arial" w:hAnsi="Arial" w:cs="Arial"/>
          <w:spacing w:val="-12"/>
        </w:rPr>
        <w:t xml:space="preserve"> </w:t>
      </w:r>
      <w:r w:rsidRPr="001321E6">
        <w:rPr>
          <w:rFonts w:ascii="Arial" w:hAnsi="Arial" w:cs="Arial"/>
        </w:rPr>
        <w:t>earnings</w:t>
      </w:r>
    </w:p>
    <w:p w14:paraId="1315744F" w14:textId="77777777" w:rsidR="00A459C9" w:rsidRPr="001321E6" w:rsidRDefault="00A459C9">
      <w:pPr>
        <w:spacing w:before="6"/>
        <w:rPr>
          <w:rFonts w:ascii="Arial" w:eastAsia="Tahoma" w:hAnsi="Arial" w:cs="Arial"/>
        </w:rPr>
      </w:pPr>
    </w:p>
    <w:p w14:paraId="391BB884" w14:textId="77777777" w:rsidR="00A459C9" w:rsidRPr="001321E6" w:rsidRDefault="00473230">
      <w:pPr>
        <w:pStyle w:val="BodyText"/>
        <w:spacing w:line="276" w:lineRule="auto"/>
        <w:ind w:right="118"/>
        <w:jc w:val="both"/>
        <w:rPr>
          <w:rFonts w:ascii="Arial" w:hAnsi="Arial" w:cs="Arial"/>
        </w:rPr>
      </w:pPr>
      <w:r w:rsidRPr="001321E6">
        <w:rPr>
          <w:rFonts w:ascii="Arial" w:hAnsi="Arial" w:cs="Arial"/>
        </w:rPr>
        <w:t xml:space="preserve">All expenses and mileage claims should be submitted using the relevant expenses and mileage claim form and attaching receipts (VAT receipts where applicable) within 14 days of the date when the expenses were incurred. The claim form will be submitted for the approval </w:t>
      </w:r>
      <w:r w:rsidR="001321E6">
        <w:rPr>
          <w:rFonts w:ascii="Arial" w:hAnsi="Arial" w:cs="Arial"/>
        </w:rPr>
        <w:t xml:space="preserve">by the Chair of Governors.  </w:t>
      </w:r>
    </w:p>
    <w:p w14:paraId="7782742B" w14:textId="77777777" w:rsidR="00A459C9" w:rsidRPr="001321E6" w:rsidRDefault="00A459C9">
      <w:pPr>
        <w:spacing w:before="5"/>
        <w:rPr>
          <w:rFonts w:ascii="Arial" w:eastAsia="Tahoma" w:hAnsi="Arial" w:cs="Arial"/>
        </w:rPr>
      </w:pPr>
    </w:p>
    <w:p w14:paraId="62AF9C1E" w14:textId="77777777" w:rsidR="00A459C9" w:rsidRDefault="00473230">
      <w:pPr>
        <w:pStyle w:val="BodyText"/>
        <w:spacing w:line="276" w:lineRule="auto"/>
        <w:ind w:right="122"/>
        <w:jc w:val="both"/>
        <w:rPr>
          <w:rFonts w:ascii="Arial" w:hAnsi="Arial" w:cs="Arial"/>
        </w:rPr>
      </w:pPr>
      <w:r w:rsidRPr="001321E6">
        <w:rPr>
          <w:rFonts w:ascii="Arial" w:hAnsi="Arial" w:cs="Arial"/>
        </w:rPr>
        <w:t>Expenses claim forms will be subject to independent audit and may</w:t>
      </w:r>
      <w:r w:rsidR="001321E6">
        <w:rPr>
          <w:rFonts w:ascii="Arial" w:hAnsi="Arial" w:cs="Arial"/>
        </w:rPr>
        <w:t xml:space="preserve"> </w:t>
      </w:r>
      <w:r w:rsidRPr="001321E6">
        <w:rPr>
          <w:rFonts w:ascii="Arial" w:hAnsi="Arial" w:cs="Arial"/>
        </w:rPr>
        <w:t xml:space="preserve">be investigated by </w:t>
      </w:r>
      <w:r w:rsidR="00335ABF">
        <w:rPr>
          <w:rFonts w:ascii="Arial" w:hAnsi="Arial" w:cs="Arial"/>
        </w:rPr>
        <w:t>Head</w:t>
      </w:r>
      <w:r w:rsidRPr="001321E6">
        <w:rPr>
          <w:rFonts w:ascii="Arial" w:hAnsi="Arial" w:cs="Arial"/>
        </w:rPr>
        <w:t xml:space="preserve"> and the Chair of Governors if they appear excessive or</w:t>
      </w:r>
      <w:r w:rsidRPr="001321E6">
        <w:rPr>
          <w:rFonts w:ascii="Arial" w:hAnsi="Arial" w:cs="Arial"/>
          <w:spacing w:val="-29"/>
        </w:rPr>
        <w:t xml:space="preserve"> </w:t>
      </w:r>
      <w:r w:rsidRPr="001321E6">
        <w:rPr>
          <w:rFonts w:ascii="Arial" w:hAnsi="Arial" w:cs="Arial"/>
        </w:rPr>
        <w:t>inconsistent.</w:t>
      </w:r>
    </w:p>
    <w:p w14:paraId="0605068A" w14:textId="77777777" w:rsidR="00A903EF" w:rsidRDefault="00A903EF">
      <w:pPr>
        <w:pStyle w:val="BodyText"/>
        <w:spacing w:line="276" w:lineRule="auto"/>
        <w:ind w:right="122"/>
        <w:jc w:val="both"/>
        <w:rPr>
          <w:rFonts w:ascii="Arial" w:hAnsi="Arial" w:cs="Arial"/>
        </w:rPr>
      </w:pPr>
    </w:p>
    <w:p w14:paraId="09D8953B" w14:textId="1CFE5725" w:rsidR="00A903EF" w:rsidRPr="001321E6" w:rsidRDefault="00A903EF">
      <w:pPr>
        <w:pStyle w:val="BodyText"/>
        <w:spacing w:line="276" w:lineRule="auto"/>
        <w:ind w:right="122"/>
        <w:jc w:val="both"/>
        <w:rPr>
          <w:rFonts w:ascii="Arial" w:hAnsi="Arial" w:cs="Arial"/>
        </w:rPr>
      </w:pPr>
      <w:r>
        <w:rPr>
          <w:rFonts w:ascii="Arial" w:hAnsi="Arial" w:cs="Arial"/>
        </w:rPr>
        <w:t xml:space="preserve">This policy will be next reviewed in the </w:t>
      </w:r>
      <w:proofErr w:type="gramStart"/>
      <w:r>
        <w:rPr>
          <w:rFonts w:ascii="Arial" w:hAnsi="Arial" w:cs="Arial"/>
        </w:rPr>
        <w:t>Spring</w:t>
      </w:r>
      <w:proofErr w:type="gramEnd"/>
      <w:r>
        <w:rPr>
          <w:rFonts w:ascii="Arial" w:hAnsi="Arial" w:cs="Arial"/>
        </w:rPr>
        <w:t xml:space="preserve"> term 202</w:t>
      </w:r>
      <w:r w:rsidR="00083EDB">
        <w:rPr>
          <w:rFonts w:ascii="Arial" w:hAnsi="Arial" w:cs="Arial"/>
        </w:rPr>
        <w:t>5</w:t>
      </w:r>
      <w:r>
        <w:rPr>
          <w:rFonts w:ascii="Arial" w:hAnsi="Arial" w:cs="Arial"/>
        </w:rPr>
        <w:t>.</w:t>
      </w:r>
    </w:p>
    <w:p w14:paraId="54E1BBA5" w14:textId="77777777" w:rsidR="00A459C9" w:rsidRDefault="00A459C9">
      <w:pPr>
        <w:spacing w:before="2"/>
        <w:rPr>
          <w:rFonts w:ascii="Arial" w:eastAsia="Tahoma" w:hAnsi="Arial" w:cs="Arial"/>
        </w:rPr>
      </w:pPr>
    </w:p>
    <w:p w14:paraId="72E88028" w14:textId="326D0E13" w:rsidR="00335ABF" w:rsidRPr="00335ABF" w:rsidRDefault="00335ABF" w:rsidP="00335ABF">
      <w:pPr>
        <w:spacing w:before="2"/>
        <w:rPr>
          <w:rFonts w:ascii="Arial" w:eastAsia="Tahoma" w:hAnsi="Arial" w:cs="Arial"/>
        </w:rPr>
      </w:pPr>
      <w:r w:rsidRPr="00335ABF">
        <w:rPr>
          <w:rFonts w:ascii="Arial" w:eastAsia="Tahoma" w:hAnsi="Arial" w:cs="Arial"/>
        </w:rPr>
        <w:t xml:space="preserve">Approved by the </w:t>
      </w:r>
      <w:r w:rsidR="009D7B35">
        <w:rPr>
          <w:rFonts w:ascii="Arial" w:eastAsia="Tahoma" w:hAnsi="Arial" w:cs="Arial"/>
        </w:rPr>
        <w:t>Resources Committee</w:t>
      </w:r>
      <w:r w:rsidRPr="00335ABF">
        <w:rPr>
          <w:rFonts w:ascii="Arial" w:eastAsia="Tahoma" w:hAnsi="Arial" w:cs="Arial"/>
        </w:rPr>
        <w:t xml:space="preserve"> on_________</w:t>
      </w:r>
      <w:r w:rsidR="00083EDB">
        <w:rPr>
          <w:rFonts w:ascii="Arial" w:eastAsia="Tahoma" w:hAnsi="Arial" w:cs="Arial"/>
        </w:rPr>
        <w:t>24/03/2022</w:t>
      </w:r>
      <w:r w:rsidRPr="00335ABF">
        <w:rPr>
          <w:rFonts w:ascii="Arial" w:eastAsia="Tahoma" w:hAnsi="Arial" w:cs="Arial"/>
        </w:rPr>
        <w:t>_______</w:t>
      </w:r>
    </w:p>
    <w:p w14:paraId="5C8968DA" w14:textId="77777777" w:rsidR="00335ABF" w:rsidRPr="00335ABF" w:rsidRDefault="00335ABF" w:rsidP="00335ABF">
      <w:pPr>
        <w:spacing w:before="2"/>
        <w:rPr>
          <w:rFonts w:ascii="Arial" w:eastAsia="Tahoma" w:hAnsi="Arial" w:cs="Arial"/>
        </w:rPr>
      </w:pPr>
    </w:p>
    <w:p w14:paraId="1E8869CF" w14:textId="1F2A514C" w:rsidR="00335ABF" w:rsidRPr="00335ABF" w:rsidRDefault="003D46B8" w:rsidP="00335ABF">
      <w:pPr>
        <w:spacing w:before="2"/>
        <w:rPr>
          <w:rFonts w:ascii="Arial" w:eastAsia="Tahoma" w:hAnsi="Arial" w:cs="Arial"/>
        </w:rPr>
      </w:pPr>
      <w:r>
        <w:rPr>
          <w:rFonts w:ascii="Arial" w:eastAsia="Tahoma" w:hAnsi="Arial" w:cs="Arial"/>
        </w:rPr>
        <w:t xml:space="preserve">             </w:t>
      </w:r>
      <w:r w:rsidR="00DE1D93">
        <w:rPr>
          <w:noProof/>
          <w:lang w:eastAsia="en-GB"/>
        </w:rPr>
        <w:drawing>
          <wp:inline distT="0" distB="0" distL="0" distR="0" wp14:anchorId="5B5D77E3" wp14:editId="2BCD328E">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sidR="00DE1D93">
        <w:rPr>
          <w:rFonts w:ascii="Arial" w:eastAsia="Tahoma" w:hAnsi="Arial" w:cs="Arial"/>
        </w:rPr>
        <w:tab/>
      </w:r>
      <w:r w:rsidR="00DE1D93">
        <w:rPr>
          <w:rFonts w:ascii="Arial" w:eastAsia="Tahoma" w:hAnsi="Arial" w:cs="Arial"/>
        </w:rPr>
        <w:tab/>
      </w:r>
      <w:r w:rsidR="00DE1D93">
        <w:rPr>
          <w:rFonts w:ascii="Arial" w:eastAsia="Tahoma" w:hAnsi="Arial" w:cs="Arial"/>
        </w:rPr>
        <w:tab/>
      </w:r>
      <w:r w:rsidR="00DE1D93">
        <w:rPr>
          <w:noProof/>
          <w:lang w:eastAsia="en-GB"/>
        </w:rPr>
        <w:drawing>
          <wp:inline distT="0" distB="0" distL="0" distR="0" wp14:anchorId="6A15A4A2" wp14:editId="5B59CD6A">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47675"/>
                    </a:xfrm>
                    <a:prstGeom prst="rect">
                      <a:avLst/>
                    </a:prstGeom>
                  </pic:spPr>
                </pic:pic>
              </a:graphicData>
            </a:graphic>
          </wp:inline>
        </w:drawing>
      </w:r>
      <w:r>
        <w:rPr>
          <w:rFonts w:ascii="Arial" w:eastAsia="Tahoma" w:hAnsi="Arial" w:cs="Arial"/>
        </w:rPr>
        <w:t xml:space="preserve">                         </w:t>
      </w:r>
    </w:p>
    <w:p w14:paraId="724FF247" w14:textId="77777777" w:rsidR="00335ABF" w:rsidRPr="001321E6" w:rsidRDefault="00335ABF" w:rsidP="00335ABF">
      <w:pPr>
        <w:spacing w:before="2"/>
        <w:rPr>
          <w:rFonts w:ascii="Arial" w:eastAsia="Tahoma" w:hAnsi="Arial" w:cs="Arial"/>
        </w:rPr>
      </w:pPr>
      <w:r w:rsidRPr="00335ABF">
        <w:rPr>
          <w:rFonts w:ascii="Arial" w:eastAsia="Tahoma" w:hAnsi="Arial" w:cs="Arial"/>
        </w:rPr>
        <w:t>Chair ___________________</w:t>
      </w:r>
      <w:r w:rsidR="00CF7635">
        <w:rPr>
          <w:rFonts w:ascii="Arial" w:eastAsia="Tahoma" w:hAnsi="Arial" w:cs="Arial"/>
        </w:rPr>
        <w:t>______</w:t>
      </w:r>
      <w:r w:rsidRPr="00335ABF">
        <w:rPr>
          <w:rFonts w:ascii="Arial" w:eastAsia="Tahoma" w:hAnsi="Arial" w:cs="Arial"/>
        </w:rPr>
        <w:t>_ CEO________</w:t>
      </w:r>
      <w:r w:rsidR="00CF7635">
        <w:rPr>
          <w:rFonts w:ascii="Arial" w:eastAsia="Tahoma" w:hAnsi="Arial" w:cs="Arial"/>
        </w:rPr>
        <w:t>___</w:t>
      </w:r>
      <w:bookmarkStart w:id="0" w:name="_GoBack"/>
      <w:bookmarkEnd w:id="0"/>
      <w:r w:rsidR="00CF7635">
        <w:rPr>
          <w:rFonts w:ascii="Arial" w:eastAsia="Tahoma" w:hAnsi="Arial" w:cs="Arial"/>
        </w:rPr>
        <w:t>___</w:t>
      </w:r>
      <w:r w:rsidRPr="00335ABF">
        <w:rPr>
          <w:rFonts w:ascii="Arial" w:eastAsia="Tahoma" w:hAnsi="Arial" w:cs="Arial"/>
        </w:rPr>
        <w:t>__________</w:t>
      </w:r>
    </w:p>
    <w:sectPr w:rsidR="00335ABF" w:rsidRPr="001321E6">
      <w:pgSz w:w="11910" w:h="16840"/>
      <w:pgMar w:top="13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2EF8"/>
    <w:multiLevelType w:val="hybridMultilevel"/>
    <w:tmpl w:val="5B46192E"/>
    <w:lvl w:ilvl="0" w:tplc="5232A0CE">
      <w:start w:val="1"/>
      <w:numFmt w:val="decimal"/>
      <w:lvlText w:val="%1"/>
      <w:lvlJc w:val="left"/>
      <w:pPr>
        <w:ind w:left="1180" w:hanging="720"/>
        <w:jc w:val="left"/>
      </w:pPr>
      <w:rPr>
        <w:rFonts w:ascii="Tahoma" w:eastAsia="Tahoma" w:hAnsi="Tahoma" w:hint="default"/>
        <w:w w:val="100"/>
        <w:sz w:val="22"/>
        <w:szCs w:val="22"/>
      </w:rPr>
    </w:lvl>
    <w:lvl w:ilvl="1" w:tplc="A6823D4A">
      <w:start w:val="1"/>
      <w:numFmt w:val="bullet"/>
      <w:lvlText w:val=""/>
      <w:lvlJc w:val="left"/>
      <w:pPr>
        <w:ind w:left="1900" w:hanging="360"/>
      </w:pPr>
      <w:rPr>
        <w:rFonts w:ascii="Symbol" w:eastAsia="Symbol" w:hAnsi="Symbol" w:hint="default"/>
        <w:w w:val="100"/>
        <w:sz w:val="22"/>
        <w:szCs w:val="22"/>
      </w:rPr>
    </w:lvl>
    <w:lvl w:ilvl="2" w:tplc="BCF227A6">
      <w:start w:val="1"/>
      <w:numFmt w:val="bullet"/>
      <w:lvlText w:val="•"/>
      <w:lvlJc w:val="left"/>
      <w:pPr>
        <w:ind w:left="2809" w:hanging="360"/>
      </w:pPr>
      <w:rPr>
        <w:rFonts w:hint="default"/>
      </w:rPr>
    </w:lvl>
    <w:lvl w:ilvl="3" w:tplc="64021F66">
      <w:start w:val="1"/>
      <w:numFmt w:val="bullet"/>
      <w:lvlText w:val="•"/>
      <w:lvlJc w:val="left"/>
      <w:pPr>
        <w:ind w:left="3719" w:hanging="360"/>
      </w:pPr>
      <w:rPr>
        <w:rFonts w:hint="default"/>
      </w:rPr>
    </w:lvl>
    <w:lvl w:ilvl="4" w:tplc="EC1EE5DC">
      <w:start w:val="1"/>
      <w:numFmt w:val="bullet"/>
      <w:lvlText w:val="•"/>
      <w:lvlJc w:val="left"/>
      <w:pPr>
        <w:ind w:left="4628" w:hanging="360"/>
      </w:pPr>
      <w:rPr>
        <w:rFonts w:hint="default"/>
      </w:rPr>
    </w:lvl>
    <w:lvl w:ilvl="5" w:tplc="CB6EC64E">
      <w:start w:val="1"/>
      <w:numFmt w:val="bullet"/>
      <w:lvlText w:val="•"/>
      <w:lvlJc w:val="left"/>
      <w:pPr>
        <w:ind w:left="5538" w:hanging="360"/>
      </w:pPr>
      <w:rPr>
        <w:rFonts w:hint="default"/>
      </w:rPr>
    </w:lvl>
    <w:lvl w:ilvl="6" w:tplc="36FA9C54">
      <w:start w:val="1"/>
      <w:numFmt w:val="bullet"/>
      <w:lvlText w:val="•"/>
      <w:lvlJc w:val="left"/>
      <w:pPr>
        <w:ind w:left="6448" w:hanging="360"/>
      </w:pPr>
      <w:rPr>
        <w:rFonts w:hint="default"/>
      </w:rPr>
    </w:lvl>
    <w:lvl w:ilvl="7" w:tplc="E6222B52">
      <w:start w:val="1"/>
      <w:numFmt w:val="bullet"/>
      <w:lvlText w:val="•"/>
      <w:lvlJc w:val="left"/>
      <w:pPr>
        <w:ind w:left="7357" w:hanging="360"/>
      </w:pPr>
      <w:rPr>
        <w:rFonts w:hint="default"/>
      </w:rPr>
    </w:lvl>
    <w:lvl w:ilvl="8" w:tplc="2F1A6DE4">
      <w:start w:val="1"/>
      <w:numFmt w:val="bullet"/>
      <w:lvlText w:val="•"/>
      <w:lvlJc w:val="left"/>
      <w:pPr>
        <w:ind w:left="826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459C9"/>
    <w:rsid w:val="00083EDB"/>
    <w:rsid w:val="001321E6"/>
    <w:rsid w:val="00335ABF"/>
    <w:rsid w:val="003B55CE"/>
    <w:rsid w:val="003D46B8"/>
    <w:rsid w:val="00473230"/>
    <w:rsid w:val="007B605A"/>
    <w:rsid w:val="009D7B35"/>
    <w:rsid w:val="00A459C9"/>
    <w:rsid w:val="00A903EF"/>
    <w:rsid w:val="00AF78A5"/>
    <w:rsid w:val="00BC43B7"/>
    <w:rsid w:val="00CF7635"/>
    <w:rsid w:val="00DE1D93"/>
    <w:rsid w:val="00FD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2B7"/>
  <w15:docId w15:val="{9C7F7015-F92E-4C5C-99C0-6F796A66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21E6"/>
    <w:rPr>
      <w:rFonts w:ascii="Tahoma" w:hAnsi="Tahoma" w:cs="Tahoma"/>
      <w:sz w:val="16"/>
      <w:szCs w:val="16"/>
    </w:rPr>
  </w:style>
  <w:style w:type="character" w:customStyle="1" w:styleId="BalloonTextChar">
    <w:name w:val="Balloon Text Char"/>
    <w:basedOn w:val="DefaultParagraphFont"/>
    <w:link w:val="BalloonText"/>
    <w:uiPriority w:val="99"/>
    <w:semiHidden/>
    <w:rsid w:val="0013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V Hillier</dc:creator>
  <cp:lastModifiedBy>Deb Barker</cp:lastModifiedBy>
  <cp:revision>12</cp:revision>
  <cp:lastPrinted>2019-02-20T10:33:00Z</cp:lastPrinted>
  <dcterms:created xsi:type="dcterms:W3CDTF">2016-01-25T12:43:00Z</dcterms:created>
  <dcterms:modified xsi:type="dcterms:W3CDTF">2022-03-28T14:45:00Z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Creator">
    <vt:lpwstr>Microsoft® Word 2010</vt:lpwstr>
  </property>
  <property fmtid="{D5CDD505-2E9C-101B-9397-08002B2CF9AE}" pid="4" name="LastSaved">
    <vt:filetime>2016-01-25T00:00:00Z</vt:filetime>
  </property>
</Properties>
</file>